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407" w:rsidRDefault="007A32BE">
      <w:pPr>
        <w:pStyle w:val="Titolo6"/>
        <w:numPr>
          <w:ilvl w:val="0"/>
          <w:numId w:val="0"/>
        </w:numPr>
        <w:jc w:val="center"/>
        <w:rPr>
          <w:rFonts w:ascii="GillSans" w:hAnsi="GillSans"/>
          <w:color w:val="254061"/>
          <w:sz w:val="22"/>
        </w:rPr>
      </w:pPr>
      <w:r>
        <w:rPr>
          <w:rFonts w:ascii="GillSans" w:hAnsi="GillSans"/>
          <w:color w:val="254061"/>
          <w:sz w:val="22"/>
        </w:rPr>
        <w:t>DOCUMENTO FINALE 2017</w:t>
      </w:r>
    </w:p>
    <w:p w:rsidR="00900407" w:rsidRDefault="00900407">
      <w:pPr>
        <w:rPr>
          <w:rFonts w:ascii="GillSans" w:hAnsi="GillSans"/>
          <w:color w:val="254061"/>
          <w:sz w:val="22"/>
        </w:rPr>
      </w:pPr>
    </w:p>
    <w:p w:rsidR="00900407" w:rsidRPr="007A32BE" w:rsidRDefault="00900407">
      <w:pPr>
        <w:jc w:val="right"/>
        <w:rPr>
          <w:rFonts w:ascii="GillSans" w:hAnsi="GillSans" w:cs="Tahoma"/>
          <w:i/>
          <w:color w:val="254061"/>
          <w:sz w:val="22"/>
        </w:rPr>
      </w:pPr>
      <w:r w:rsidRPr="007A32BE">
        <w:rPr>
          <w:rFonts w:ascii="GillSans" w:hAnsi="GillSans"/>
          <w:i/>
          <w:color w:val="254061"/>
          <w:sz w:val="22"/>
        </w:rPr>
        <w:tab/>
      </w:r>
      <w:r w:rsidR="007A32BE" w:rsidRPr="007A32BE">
        <w:rPr>
          <w:rFonts w:ascii="GillSans" w:hAnsi="GillSans" w:cs="Tahoma"/>
          <w:i/>
          <w:color w:val="254061"/>
          <w:sz w:val="22"/>
        </w:rPr>
        <w:t>Pescara, 8 giugno 2017</w:t>
      </w:r>
    </w:p>
    <w:p w:rsidR="00900407" w:rsidRPr="00F56D78" w:rsidRDefault="00900407">
      <w:pPr>
        <w:jc w:val="center"/>
        <w:rPr>
          <w:rFonts w:ascii="GillSans" w:hAnsi="GillSans" w:cs="Tahoma"/>
          <w:color w:val="244061" w:themeColor="accent1" w:themeShade="80"/>
          <w:sz w:val="22"/>
          <w:szCs w:val="22"/>
        </w:rPr>
      </w:pPr>
    </w:p>
    <w:p w:rsidR="00900407" w:rsidRPr="00F56D78" w:rsidRDefault="00900407">
      <w:pPr>
        <w:rPr>
          <w:rFonts w:ascii="GillSans" w:hAnsi="GillSans"/>
          <w:color w:val="244061" w:themeColor="accent1" w:themeShade="80"/>
          <w:sz w:val="22"/>
          <w:szCs w:val="22"/>
        </w:rPr>
        <w:sectPr w:rsidR="00900407" w:rsidRPr="00F56D78">
          <w:headerReference w:type="default" r:id="rId7"/>
          <w:footnotePr>
            <w:pos w:val="beneathText"/>
          </w:footnotePr>
          <w:pgSz w:w="11906" w:h="16838" w:code="9"/>
          <w:pgMar w:top="1418" w:right="1134" w:bottom="1418" w:left="1134" w:header="708" w:footer="708" w:gutter="0"/>
          <w:pgNumType w:start="83"/>
          <w:cols w:space="708"/>
          <w:docGrid w:linePitch="360"/>
        </w:sectPr>
      </w:pPr>
    </w:p>
    <w:p w:rsidR="00900407" w:rsidRPr="00F56D78" w:rsidRDefault="00900407">
      <w:pPr>
        <w:pStyle w:val="Titolo6"/>
        <w:numPr>
          <w:ilvl w:val="0"/>
          <w:numId w:val="0"/>
        </w:numPr>
        <w:tabs>
          <w:tab w:val="left" w:pos="240"/>
        </w:tabs>
        <w:rPr>
          <w:rFonts w:ascii="GillSans" w:eastAsia="Arial" w:hAnsi="GillSans"/>
          <w:b w:val="0"/>
          <w:bCs w:val="0"/>
          <w:color w:val="244061" w:themeColor="accent1" w:themeShade="80"/>
          <w:sz w:val="22"/>
          <w:szCs w:val="22"/>
        </w:rPr>
      </w:pPr>
    </w:p>
    <w:p w:rsidR="00900407" w:rsidRPr="00F56D78" w:rsidRDefault="00900407">
      <w:pPr>
        <w:pStyle w:val="Titolo6"/>
        <w:numPr>
          <w:ilvl w:val="0"/>
          <w:numId w:val="0"/>
        </w:numPr>
        <w:tabs>
          <w:tab w:val="left" w:pos="240"/>
        </w:tabs>
        <w:rPr>
          <w:rFonts w:ascii="GillSans" w:hAnsi="GillSans"/>
          <w:i/>
          <w:iCs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i/>
          <w:iCs/>
          <w:color w:val="244061" w:themeColor="accent1" w:themeShade="80"/>
          <w:sz w:val="22"/>
          <w:szCs w:val="22"/>
        </w:rPr>
        <w:t>1. Introduzione</w:t>
      </w:r>
    </w:p>
    <w:p w:rsidR="001A5042" w:rsidRPr="00F56D78" w:rsidRDefault="001A5042" w:rsidP="001A5042">
      <w:pPr>
        <w:rPr>
          <w:rFonts w:ascii="GillSans" w:eastAsia="Arial Unicode MS" w:hAnsi="GillSans"/>
          <w:color w:val="244061" w:themeColor="accent1" w:themeShade="80"/>
          <w:sz w:val="22"/>
          <w:szCs w:val="22"/>
        </w:rPr>
      </w:pPr>
    </w:p>
    <w:p w:rsidR="00D64848" w:rsidRPr="00F56D78" w:rsidRDefault="00405B92" w:rsidP="001A5042">
      <w:pPr>
        <w:ind w:left="360"/>
        <w:jc w:val="both"/>
        <w:rPr>
          <w:rFonts w:ascii="GillSan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color w:val="244061" w:themeColor="accent1" w:themeShade="80"/>
          <w:sz w:val="22"/>
          <w:szCs w:val="22"/>
        </w:rPr>
        <w:t>La bozza progettuale elaborata</w:t>
      </w:r>
      <w:r w:rsidR="00D64848"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 da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>lla</w:t>
      </w:r>
      <w:r w:rsidR="00D64848"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 Camera di Commercio di Bari e poi </w:t>
      </w:r>
      <w:r w:rsidR="00107224" w:rsidRPr="00F56D78">
        <w:rPr>
          <w:rFonts w:ascii="GillSans" w:hAnsi="GillSans"/>
          <w:color w:val="244061" w:themeColor="accent1" w:themeShade="80"/>
          <w:sz w:val="22"/>
          <w:szCs w:val="22"/>
        </w:rPr>
        <w:t>discuss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>a</w:t>
      </w:r>
      <w:r w:rsidR="00107224"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 al tavolo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 è la seguente</w:t>
      </w:r>
      <w:r w:rsidR="00107224" w:rsidRPr="00F56D78">
        <w:rPr>
          <w:rFonts w:ascii="GillSans" w:hAnsi="GillSans"/>
          <w:color w:val="244061" w:themeColor="accent1" w:themeShade="80"/>
          <w:sz w:val="22"/>
          <w:szCs w:val="22"/>
        </w:rPr>
        <w:t>:</w:t>
      </w:r>
    </w:p>
    <w:p w:rsidR="00107224" w:rsidRPr="00F56D78" w:rsidRDefault="00107224" w:rsidP="001A5042">
      <w:pPr>
        <w:ind w:left="360"/>
        <w:jc w:val="both"/>
        <w:rPr>
          <w:rFonts w:ascii="GillSan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color w:val="244061" w:themeColor="accent1" w:themeShade="80"/>
          <w:sz w:val="22"/>
          <w:szCs w:val="22"/>
        </w:rPr>
        <w:t>NAUTICAL REFITTING E TURISMO NAUTICO</w:t>
      </w:r>
      <w:r w:rsidR="00405B92"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. VECCHIE NAVI COME: </w:t>
      </w:r>
    </w:p>
    <w:p w:rsidR="00D64848" w:rsidRPr="00F56D78" w:rsidRDefault="00107224" w:rsidP="001A5042">
      <w:pPr>
        <w:ind w:left="720"/>
        <w:jc w:val="both"/>
        <w:rPr>
          <w:rFonts w:ascii="GillSan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- laboratori per un refitting transnazionale </w:t>
      </w:r>
      <w:r w:rsidR="001A5042" w:rsidRPr="00F56D78">
        <w:rPr>
          <w:rFonts w:ascii="GillSans" w:hAnsi="GillSans"/>
          <w:color w:val="244061" w:themeColor="accent1" w:themeShade="80"/>
          <w:sz w:val="22"/>
          <w:szCs w:val="22"/>
        </w:rPr>
        <w:tab/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br/>
        <w:t xml:space="preserve">- location </w:t>
      </w:r>
      <w:r w:rsidR="00D64848"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per un turismo nautico moderno </w:t>
      </w:r>
    </w:p>
    <w:p w:rsidR="00107224" w:rsidRPr="00F56D78" w:rsidRDefault="00D64848" w:rsidP="001A5042">
      <w:pPr>
        <w:ind w:left="360"/>
        <w:jc w:val="both"/>
        <w:rPr>
          <w:rFonts w:ascii="GillSan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Segue l'illustrazione del progetto da parte del </w:t>
      </w:r>
      <w:r w:rsidR="00405B92"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progettista della Camera di Commercio di Bari, </w:t>
      </w:r>
      <w:r w:rsidR="00F56D78" w:rsidRPr="00F56D78">
        <w:rPr>
          <w:rFonts w:ascii="GillSans" w:hAnsi="GillSans"/>
          <w:color w:val="244061" w:themeColor="accent1" w:themeShade="80"/>
          <w:sz w:val="22"/>
          <w:szCs w:val="22"/>
        </w:rPr>
        <w:t>Dott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>.</w:t>
      </w:r>
      <w:r w:rsidR="00F56D78"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 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>Cosmo Albertini,</w:t>
      </w:r>
      <w:r w:rsidR="00405B92"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 seguito dalle relazioni</w:t>
      </w:r>
      <w:r w:rsidR="00F56D78"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 tecniche dei keynote speaker (P</w:t>
      </w:r>
      <w:r w:rsidR="00405B92" w:rsidRPr="00F56D78">
        <w:rPr>
          <w:rFonts w:ascii="GillSans" w:hAnsi="GillSans"/>
          <w:color w:val="244061" w:themeColor="accent1" w:themeShade="80"/>
          <w:sz w:val="22"/>
          <w:szCs w:val="22"/>
        </w:rPr>
        <w:t>rofessori Rossana Carullo e Michele Fiorentino, del Politecnico di Bari) e quindi da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gli interventi degli altri iscritti al tavolo, che contribuiscono a definire la seguente ipotesi di </w:t>
      </w:r>
      <w:r w:rsidR="00107224" w:rsidRPr="00F56D78">
        <w:rPr>
          <w:rFonts w:ascii="GillSans" w:hAnsi="GillSans"/>
          <w:color w:val="244061" w:themeColor="accent1" w:themeShade="80"/>
          <w:sz w:val="22"/>
          <w:szCs w:val="22"/>
        </w:rPr>
        <w:t>progetto europeo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>.</w:t>
      </w:r>
    </w:p>
    <w:p w:rsidR="00900407" w:rsidRPr="00F56D78" w:rsidRDefault="00900407" w:rsidP="001A5042">
      <w:pPr>
        <w:jc w:val="both"/>
        <w:rPr>
          <w:rFonts w:ascii="GillSans" w:eastAsia="Arial Unicode MS" w:hAnsi="GillSans"/>
          <w:color w:val="244061" w:themeColor="accent1" w:themeShade="80"/>
          <w:sz w:val="22"/>
          <w:szCs w:val="22"/>
        </w:rPr>
      </w:pPr>
    </w:p>
    <w:p w:rsidR="00900407" w:rsidRPr="00F56D78" w:rsidRDefault="00900407">
      <w:pPr>
        <w:pStyle w:val="Titolo6"/>
        <w:numPr>
          <w:ilvl w:val="0"/>
          <w:numId w:val="0"/>
        </w:numPr>
        <w:tabs>
          <w:tab w:val="left" w:pos="240"/>
        </w:tabs>
        <w:rPr>
          <w:rFonts w:ascii="GillSans" w:eastAsia="Arial Unicode MS" w:hAnsi="GillSans"/>
          <w:i/>
          <w:iCs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i/>
          <w:iCs/>
          <w:color w:val="244061" w:themeColor="accent1" w:themeShade="80"/>
          <w:sz w:val="22"/>
          <w:szCs w:val="22"/>
        </w:rPr>
        <w:t>2. Linee strategiche</w:t>
      </w:r>
    </w:p>
    <w:p w:rsidR="00900407" w:rsidRPr="00F56D78" w:rsidRDefault="00900407">
      <w:pPr>
        <w:rPr>
          <w:rFonts w:ascii="GillSans" w:hAnsi="GillSans"/>
          <w:color w:val="244061" w:themeColor="accent1" w:themeShade="80"/>
          <w:sz w:val="22"/>
          <w:szCs w:val="22"/>
        </w:rPr>
      </w:pPr>
    </w:p>
    <w:p w:rsidR="0011077F" w:rsidRPr="00F56D78" w:rsidRDefault="0011077F" w:rsidP="001A5042">
      <w:pPr>
        <w:numPr>
          <w:ilvl w:val="0"/>
          <w:numId w:val="46"/>
        </w:numPr>
        <w:jc w:val="both"/>
        <w:rPr>
          <w:rFonts w:ascii="GillSan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Il </w:t>
      </w:r>
      <w:r w:rsidRPr="00F56D78">
        <w:rPr>
          <w:rFonts w:ascii="GillSans" w:hAnsi="GillSans"/>
          <w:b/>
          <w:bCs/>
          <w:color w:val="244061" w:themeColor="accent1" w:themeShade="80"/>
          <w:sz w:val="22"/>
          <w:szCs w:val="22"/>
        </w:rPr>
        <w:t xml:space="preserve">nautical refitting: </w:t>
      </w:r>
      <w:r w:rsidR="00F56D78"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servizi 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di restauro e trasformazione </w:t>
      </w:r>
      <w:r w:rsidR="00F56D78" w:rsidRPr="00F56D78">
        <w:rPr>
          <w:rFonts w:ascii="GillSans" w:hAnsi="GillSans"/>
          <w:color w:val="244061" w:themeColor="accent1" w:themeShade="80"/>
          <w:sz w:val="22"/>
          <w:szCs w:val="22"/>
        </w:rPr>
        <w:t>d’imbarcazioni e superyacht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 che restituiscono loro nuova vita in termini di comfort, tecnologia, sicurezza, sostenibilità ambientale;</w:t>
      </w:r>
    </w:p>
    <w:p w:rsidR="0011077F" w:rsidRPr="00F56D78" w:rsidRDefault="0011077F" w:rsidP="001A5042">
      <w:pPr>
        <w:numPr>
          <w:ilvl w:val="0"/>
          <w:numId w:val="46"/>
        </w:numPr>
        <w:jc w:val="both"/>
        <w:rPr>
          <w:rFonts w:ascii="GillSan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color w:val="244061" w:themeColor="accent1" w:themeShade="80"/>
          <w:sz w:val="22"/>
          <w:szCs w:val="22"/>
        </w:rPr>
        <w:t>Una attività anticiclica: perché, mentre i cantieri sono in difficoltà nelle vendite del “nuovo”, una grande quantità di barche necessita di sostanziali manutenzioni;</w:t>
      </w:r>
    </w:p>
    <w:p w:rsidR="0011077F" w:rsidRPr="00F56D78" w:rsidRDefault="0011077F" w:rsidP="001A5042">
      <w:pPr>
        <w:numPr>
          <w:ilvl w:val="0"/>
          <w:numId w:val="46"/>
        </w:numPr>
        <w:jc w:val="both"/>
        <w:rPr>
          <w:rFonts w:ascii="GillSan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Il </w:t>
      </w:r>
      <w:r w:rsidRPr="00F56D78">
        <w:rPr>
          <w:rFonts w:ascii="GillSans" w:hAnsi="GillSans"/>
          <w:b/>
          <w:bCs/>
          <w:color w:val="244061" w:themeColor="accent1" w:themeShade="80"/>
          <w:sz w:val="22"/>
          <w:szCs w:val="22"/>
        </w:rPr>
        <w:t xml:space="preserve">turismo nautico: 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>un’esperienza turistica in cui la motivazione è la navigazione e l'esperienza a bordo e a terra, funzionale a ricreazione, sport, intrattenimento, socializzazione, ecc.</w:t>
      </w:r>
    </w:p>
    <w:p w:rsidR="0011077F" w:rsidRPr="00F56D78" w:rsidRDefault="0011077F" w:rsidP="001A5042">
      <w:pPr>
        <w:numPr>
          <w:ilvl w:val="0"/>
          <w:numId w:val="46"/>
        </w:numPr>
        <w:jc w:val="both"/>
        <w:rPr>
          <w:rFonts w:ascii="GillSan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color w:val="244061" w:themeColor="accent1" w:themeShade="80"/>
          <w:sz w:val="22"/>
          <w:szCs w:val="22"/>
        </w:rPr>
        <w:t>Un turismo multifunzionale, in cui si combinano attività varie, alcune delle quali con una riconoscibile componente marittima.</w:t>
      </w:r>
    </w:p>
    <w:p w:rsidR="0011077F" w:rsidRPr="00F56D78" w:rsidRDefault="0011077F" w:rsidP="001A5042">
      <w:pPr>
        <w:numPr>
          <w:ilvl w:val="0"/>
          <w:numId w:val="46"/>
        </w:numPr>
        <w:jc w:val="both"/>
        <w:rPr>
          <w:rFonts w:ascii="GillSan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b/>
          <w:bCs/>
          <w:color w:val="244061" w:themeColor="accent1" w:themeShade="80"/>
          <w:sz w:val="22"/>
          <w:szCs w:val="22"/>
        </w:rPr>
        <w:t xml:space="preserve">Esistono realtà che potrebbero sviluppare il refitting 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(Università e Politecnici, cantieri navali, designer, imprese manifatturiere/artigiane, armatori/associazioni nautiche, porti specializzati, cooperative turistiche per la gestione delle navi)  ma </w:t>
      </w:r>
      <w:r w:rsidRPr="00F56D78">
        <w:rPr>
          <w:rFonts w:ascii="GillSans" w:hAnsi="GillSans"/>
          <w:b/>
          <w:bCs/>
          <w:color w:val="244061" w:themeColor="accent1" w:themeShade="80"/>
          <w:sz w:val="22"/>
          <w:szCs w:val="22"/>
        </w:rPr>
        <w:t>manca completamente un collegamento in filiera fra queste realtà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>;</w:t>
      </w:r>
    </w:p>
    <w:p w:rsidR="0011077F" w:rsidRPr="00F56D78" w:rsidRDefault="0011077F" w:rsidP="001A5042">
      <w:pPr>
        <w:numPr>
          <w:ilvl w:val="0"/>
          <w:numId w:val="46"/>
        </w:numPr>
        <w:jc w:val="both"/>
        <w:rPr>
          <w:rFonts w:ascii="GillSan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b/>
          <w:bCs/>
          <w:color w:val="244061" w:themeColor="accent1" w:themeShade="80"/>
          <w:sz w:val="22"/>
          <w:szCs w:val="22"/>
        </w:rPr>
        <w:t>Il turismo nautico viene vissuto come un mercato a sé stante; manca completamente una saldatura fra la gita in barca, l’economia dell’entroterra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 (turismo, ristorazione, servizi alla persona) </w:t>
      </w:r>
      <w:r w:rsidRPr="00F56D78">
        <w:rPr>
          <w:rFonts w:ascii="GillSans" w:hAnsi="GillSans"/>
          <w:b/>
          <w:bCs/>
          <w:color w:val="244061" w:themeColor="accent1" w:themeShade="80"/>
          <w:sz w:val="22"/>
          <w:szCs w:val="22"/>
        </w:rPr>
        <w:t>e la vendita di questi pacchetti turistici;</w:t>
      </w:r>
    </w:p>
    <w:p w:rsidR="0011077F" w:rsidRPr="00F56D78" w:rsidRDefault="0011077F" w:rsidP="001A5042">
      <w:pPr>
        <w:numPr>
          <w:ilvl w:val="0"/>
          <w:numId w:val="46"/>
        </w:numPr>
        <w:jc w:val="both"/>
        <w:rPr>
          <w:rFonts w:ascii="GillSan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b/>
          <w:bCs/>
          <w:color w:val="244061" w:themeColor="accent1" w:themeShade="80"/>
          <w:sz w:val="22"/>
          <w:szCs w:val="22"/>
        </w:rPr>
        <w:t>Il ruolo centrale delle Camere di Commercio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>: attivare queste filiere, coordinarle, promuovere i pacc</w:t>
      </w:r>
      <w:r w:rsidR="00F56D78"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hetti turistici 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>legati alle barche rimesse a nuovo (casi pilota).</w:t>
      </w:r>
    </w:p>
    <w:p w:rsidR="0011077F" w:rsidRPr="00F56D78" w:rsidRDefault="0011077F" w:rsidP="001A5042">
      <w:pPr>
        <w:numPr>
          <w:ilvl w:val="0"/>
          <w:numId w:val="46"/>
        </w:numPr>
        <w:jc w:val="both"/>
        <w:rPr>
          <w:rFonts w:ascii="GillSan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The Telegraph, August 2016: "Aspettatevi di assistere ad uno spostamento dall'attuale mercato di massa del turismo dalle vacanze costruite su internet a una nuova offerta che esprima </w:t>
      </w:r>
      <w:r w:rsidRPr="00F56D78">
        <w:rPr>
          <w:rFonts w:ascii="GillSans" w:hAnsi="GillSans"/>
          <w:b/>
          <w:bCs/>
          <w:color w:val="244061" w:themeColor="accent1" w:themeShade="80"/>
          <w:sz w:val="22"/>
          <w:szCs w:val="22"/>
        </w:rPr>
        <w:t>una più personalizzata comprensione della personalità del vacanziero, dei suoi interessi, dei suoi bisogni sociali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". </w:t>
      </w:r>
    </w:p>
    <w:p w:rsidR="00107224" w:rsidRPr="00F56D78" w:rsidRDefault="0011077F" w:rsidP="00107224">
      <w:pPr>
        <w:numPr>
          <w:ilvl w:val="0"/>
          <w:numId w:val="46"/>
        </w:numPr>
        <w:rPr>
          <w:rFonts w:ascii="GillSan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color w:val="244061" w:themeColor="accent1" w:themeShade="80"/>
          <w:sz w:val="22"/>
          <w:szCs w:val="22"/>
        </w:rPr>
        <w:t>“</w:t>
      </w:r>
      <w:r w:rsidRPr="00F56D78">
        <w:rPr>
          <w:rFonts w:ascii="GillSans" w:hAnsi="GillSans"/>
          <w:b/>
          <w:bCs/>
          <w:color w:val="244061" w:themeColor="accent1" w:themeShade="80"/>
          <w:sz w:val="22"/>
          <w:szCs w:val="22"/>
        </w:rPr>
        <w:t>Spiccata personalizzazione e segmentazione</w:t>
      </w:r>
      <w:r w:rsidRPr="00F56D78">
        <w:rPr>
          <w:rFonts w:ascii="GillSans" w:hAnsi="GillSans"/>
          <w:color w:val="244061" w:themeColor="accent1" w:themeShade="80"/>
          <w:sz w:val="22"/>
          <w:szCs w:val="22"/>
        </w:rPr>
        <w:t xml:space="preserve">”, come sta già avvenendo negli USA: viaggi per soli gay, per amanti del ciclismo, per ebrei single, per sostenitori del partito repubblicano. Tour a tema per appassionati di Pokemon Go o del telefilm Trono di Spade. </w:t>
      </w:r>
    </w:p>
    <w:p w:rsidR="00900407" w:rsidRPr="00F56D78" w:rsidRDefault="00900407">
      <w:pPr>
        <w:rPr>
          <w:rFonts w:ascii="GillSans" w:hAnsi="GillSans"/>
          <w:color w:val="244061" w:themeColor="accent1" w:themeShade="80"/>
          <w:sz w:val="22"/>
          <w:szCs w:val="22"/>
        </w:rPr>
      </w:pPr>
    </w:p>
    <w:p w:rsidR="00107224" w:rsidRPr="00F56D78" w:rsidRDefault="00107224">
      <w:pPr>
        <w:rPr>
          <w:rFonts w:ascii="GillSans" w:hAnsi="GillSans"/>
          <w:color w:val="244061" w:themeColor="accent1" w:themeShade="80"/>
          <w:sz w:val="22"/>
          <w:szCs w:val="22"/>
        </w:rPr>
      </w:pPr>
    </w:p>
    <w:p w:rsidR="00900407" w:rsidRPr="00F56D78" w:rsidRDefault="00900407">
      <w:pPr>
        <w:pStyle w:val="Titolo6"/>
        <w:numPr>
          <w:ilvl w:val="0"/>
          <w:numId w:val="0"/>
        </w:numPr>
        <w:tabs>
          <w:tab w:val="left" w:pos="240"/>
        </w:tabs>
        <w:rPr>
          <w:rFonts w:ascii="GillSans" w:eastAsia="Arial Unicode MS" w:hAnsi="GillSans"/>
          <w:i/>
          <w:iCs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i/>
          <w:iCs/>
          <w:color w:val="244061" w:themeColor="accent1" w:themeShade="80"/>
          <w:sz w:val="22"/>
          <w:szCs w:val="22"/>
        </w:rPr>
        <w:lastRenderedPageBreak/>
        <w:t>3. Conclusioni</w:t>
      </w:r>
    </w:p>
    <w:p w:rsidR="00107224" w:rsidRPr="00F56D78" w:rsidRDefault="00107224" w:rsidP="00107224">
      <w:pPr>
        <w:rPr>
          <w:rFonts w:ascii="GillSans" w:eastAsia="Arial Unicode MS" w:hAnsi="GillSans"/>
          <w:color w:val="244061" w:themeColor="accent1" w:themeShade="80"/>
          <w:sz w:val="22"/>
          <w:szCs w:val="22"/>
        </w:rPr>
      </w:pPr>
    </w:p>
    <w:p w:rsidR="00107224" w:rsidRPr="00F56D78" w:rsidRDefault="00107224" w:rsidP="00D64848">
      <w:pPr>
        <w:ind w:left="360"/>
        <w:rPr>
          <w:rFonts w:ascii="GillSan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color w:val="244061" w:themeColor="accent1" w:themeShade="80"/>
          <w:sz w:val="22"/>
          <w:szCs w:val="22"/>
        </w:rPr>
        <w:t>CHI occorrerà integrare in un’unica filiera</w:t>
      </w:r>
    </w:p>
    <w:p w:rsidR="00F56D78" w:rsidRPr="00F56D78" w:rsidRDefault="00F56D78" w:rsidP="00D64848">
      <w:pPr>
        <w:ind w:left="360"/>
        <w:rPr>
          <w:rFonts w:ascii="GillSans" w:hAnsi="GillSans"/>
          <w:color w:val="244061" w:themeColor="accent1" w:themeShade="80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3423"/>
        <w:gridCol w:w="6431"/>
      </w:tblGrid>
      <w:tr w:rsidR="00107224" w:rsidRPr="00F56D78" w:rsidTr="0011077F">
        <w:trPr>
          <w:trHeight w:val="567"/>
        </w:trPr>
        <w:tc>
          <w:tcPr>
            <w:tcW w:w="0" w:type="auto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107224" w:rsidRPr="00F56D78" w:rsidRDefault="00107224">
            <w:pPr>
              <w:pStyle w:val="NormaleWeb"/>
              <w:spacing w:before="0" w:after="0"/>
              <w:rPr>
                <w:rFonts w:ascii="GillSans" w:hAnsi="GillSans" w:cs="Arial"/>
                <w:b/>
                <w:bCs/>
                <w:color w:val="244061" w:themeColor="accent1" w:themeShade="80"/>
                <w:sz w:val="22"/>
                <w:szCs w:val="22"/>
              </w:rPr>
            </w:pPr>
            <w:bookmarkStart w:id="0" w:name="OLE_LINK1"/>
            <w:r w:rsidRPr="00F56D78">
              <w:rPr>
                <w:rFonts w:ascii="GillSans" w:hAnsi="GillSans" w:cs="Arial"/>
                <w:b/>
                <w:bCs/>
                <w:color w:val="244061" w:themeColor="accent1" w:themeShade="80"/>
                <w:kern w:val="24"/>
                <w:sz w:val="22"/>
                <w:szCs w:val="22"/>
              </w:rPr>
              <w:t xml:space="preserve">Attore filiera </w:t>
            </w:r>
          </w:p>
        </w:tc>
        <w:tc>
          <w:tcPr>
            <w:tcW w:w="0" w:type="auto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107224" w:rsidRPr="00F56D78" w:rsidRDefault="00107224">
            <w:pPr>
              <w:pStyle w:val="NormaleWeb"/>
              <w:spacing w:before="0" w:after="0"/>
              <w:rPr>
                <w:rFonts w:ascii="GillSans" w:hAnsi="GillSans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F56D78">
              <w:rPr>
                <w:rFonts w:ascii="GillSans" w:hAnsi="GillSans" w:cs="Arial"/>
                <w:b/>
                <w:bCs/>
                <w:color w:val="244061" w:themeColor="accent1" w:themeShade="80"/>
                <w:kern w:val="24"/>
                <w:sz w:val="22"/>
                <w:szCs w:val="22"/>
              </w:rPr>
              <w:t xml:space="preserve">Cosa deve fare </w:t>
            </w:r>
          </w:p>
        </w:tc>
      </w:tr>
      <w:tr w:rsidR="00107224" w:rsidRPr="00F56D78" w:rsidTr="0011077F">
        <w:trPr>
          <w:trHeight w:val="567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  <w:hideMark/>
          </w:tcPr>
          <w:p w:rsidR="00107224" w:rsidRPr="00F56D78" w:rsidRDefault="00107224" w:rsidP="0011077F">
            <w:pPr>
              <w:suppressAutoHyphens w:val="0"/>
              <w:rPr>
                <w:rFonts w:ascii="GillSans" w:hAnsi="GillSans" w:cs="Arial"/>
                <w:b/>
                <w:bCs/>
                <w:color w:val="244061" w:themeColor="accent1" w:themeShade="80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b/>
                <w:bCs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Armatori/associazioni nautiche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  <w:hideMark/>
          </w:tcPr>
          <w:p w:rsidR="00107224" w:rsidRPr="00F56D78" w:rsidRDefault="00107224" w:rsidP="0011077F">
            <w:pPr>
              <w:suppressAutoHyphens w:val="0"/>
              <w:rPr>
                <w:rFonts w:ascii="GillSans" w:hAnsi="GillSans" w:cs="Arial"/>
                <w:color w:val="244061" w:themeColor="accent1" w:themeShade="80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Sottopongono una propria imbarcazione al refitting </w:t>
            </w:r>
          </w:p>
        </w:tc>
      </w:tr>
      <w:tr w:rsidR="00107224" w:rsidRPr="00F56D78" w:rsidTr="0011077F">
        <w:trPr>
          <w:trHeight w:val="567"/>
        </w:trPr>
        <w:tc>
          <w:tcPr>
            <w:tcW w:w="0" w:type="auto"/>
            <w:hideMark/>
          </w:tcPr>
          <w:p w:rsidR="00107224" w:rsidRPr="00F56D78" w:rsidRDefault="00107224" w:rsidP="0011077F">
            <w:pPr>
              <w:suppressAutoHyphens w:val="0"/>
              <w:rPr>
                <w:rFonts w:ascii="GillSans" w:hAnsi="GillSans" w:cs="Arial"/>
                <w:b/>
                <w:bCs/>
                <w:color w:val="244061" w:themeColor="accent1" w:themeShade="80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b/>
                <w:bCs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Università e Politecnici </w:t>
            </w:r>
          </w:p>
        </w:tc>
        <w:tc>
          <w:tcPr>
            <w:tcW w:w="0" w:type="auto"/>
            <w:hideMark/>
          </w:tcPr>
          <w:p w:rsidR="00107224" w:rsidRPr="00F56D78" w:rsidRDefault="00107224" w:rsidP="0011077F">
            <w:pPr>
              <w:suppressAutoHyphens w:val="0"/>
              <w:rPr>
                <w:rFonts w:ascii="GillSans" w:hAnsi="GillSans" w:cs="Arial"/>
                <w:color w:val="244061" w:themeColor="accent1" w:themeShade="80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>Progettano e gestiscono il refitting, coordinando i fornitori</w:t>
            </w:r>
          </w:p>
        </w:tc>
      </w:tr>
      <w:tr w:rsidR="00107224" w:rsidRPr="00F56D78" w:rsidTr="0011077F">
        <w:trPr>
          <w:trHeight w:val="567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  <w:hideMark/>
          </w:tcPr>
          <w:p w:rsidR="00107224" w:rsidRPr="00F56D78" w:rsidRDefault="00107224" w:rsidP="0011077F">
            <w:pPr>
              <w:suppressAutoHyphens w:val="0"/>
              <w:rPr>
                <w:rFonts w:ascii="GillSans" w:hAnsi="GillSans" w:cs="Arial"/>
                <w:b/>
                <w:bCs/>
                <w:color w:val="244061" w:themeColor="accent1" w:themeShade="80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b/>
                <w:bCs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Cantieri navali, maestri d’ascia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  <w:hideMark/>
          </w:tcPr>
          <w:p w:rsidR="00107224" w:rsidRPr="00F56D78" w:rsidRDefault="00F56D78" w:rsidP="0011077F">
            <w:pPr>
              <w:suppressAutoHyphens w:val="0"/>
              <w:rPr>
                <w:rFonts w:ascii="GillSans" w:hAnsi="GillSans" w:cs="Arial"/>
                <w:color w:val="244061" w:themeColor="accent1" w:themeShade="80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>Ospitano</w:t>
            </w:r>
            <w:r w:rsidR="00107224"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 l’imbarcazione, realizzano materialmente il refitting </w:t>
            </w:r>
          </w:p>
        </w:tc>
      </w:tr>
      <w:tr w:rsidR="00107224" w:rsidRPr="00F56D78" w:rsidTr="0011077F">
        <w:trPr>
          <w:trHeight w:val="567"/>
        </w:trPr>
        <w:tc>
          <w:tcPr>
            <w:tcW w:w="0" w:type="auto"/>
            <w:hideMark/>
          </w:tcPr>
          <w:p w:rsidR="00107224" w:rsidRPr="00F56D78" w:rsidRDefault="00107224" w:rsidP="0011077F">
            <w:pPr>
              <w:suppressAutoHyphens w:val="0"/>
              <w:rPr>
                <w:rFonts w:ascii="GillSans" w:hAnsi="GillSans" w:cs="Arial"/>
                <w:b/>
                <w:bCs/>
                <w:color w:val="244061" w:themeColor="accent1" w:themeShade="80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b/>
                <w:bCs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Designer, allestitori di interni, ebanisti, artigiani </w:t>
            </w:r>
          </w:p>
        </w:tc>
        <w:tc>
          <w:tcPr>
            <w:tcW w:w="0" w:type="auto"/>
            <w:hideMark/>
          </w:tcPr>
          <w:p w:rsidR="00107224" w:rsidRPr="00F56D78" w:rsidRDefault="00F56D78" w:rsidP="0011077F">
            <w:pPr>
              <w:suppressAutoHyphens w:val="0"/>
              <w:rPr>
                <w:rFonts w:ascii="GillSans" w:hAnsi="GillSans" w:cs="Arial"/>
                <w:color w:val="244061" w:themeColor="accent1" w:themeShade="80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Si occupano </w:t>
            </w:r>
            <w:r w:rsidR="00107224"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di allestire gli interni e progettare oggetti da coperta </w:t>
            </w:r>
          </w:p>
        </w:tc>
      </w:tr>
      <w:tr w:rsidR="00107224" w:rsidRPr="00F56D78" w:rsidTr="0011077F">
        <w:trPr>
          <w:trHeight w:val="567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  <w:hideMark/>
          </w:tcPr>
          <w:p w:rsidR="00107224" w:rsidRPr="00F56D78" w:rsidRDefault="00107224" w:rsidP="0011077F">
            <w:pPr>
              <w:suppressAutoHyphens w:val="0"/>
              <w:rPr>
                <w:rFonts w:ascii="GillSans" w:hAnsi="GillSans" w:cs="Arial"/>
                <w:b/>
                <w:bCs/>
                <w:color w:val="244061" w:themeColor="accent1" w:themeShade="80"/>
                <w:kern w:val="24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Cooperative turistiche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  <w:hideMark/>
          </w:tcPr>
          <w:p w:rsidR="00107224" w:rsidRPr="00F56D78" w:rsidRDefault="00107224" w:rsidP="0011077F">
            <w:pPr>
              <w:suppressAutoHyphens w:val="0"/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Gestiscono le navi dopo il refitting, creano i pacchetti turistici (coinvolgendo attività turistiche sulla terraferma) </w:t>
            </w:r>
          </w:p>
        </w:tc>
      </w:tr>
      <w:tr w:rsidR="00107224" w:rsidRPr="00F56D78" w:rsidTr="0011077F">
        <w:trPr>
          <w:trHeight w:val="567"/>
        </w:trPr>
        <w:tc>
          <w:tcPr>
            <w:tcW w:w="0" w:type="auto"/>
            <w:hideMark/>
          </w:tcPr>
          <w:p w:rsidR="00107224" w:rsidRPr="00F56D78" w:rsidRDefault="00107224" w:rsidP="0011077F">
            <w:pPr>
              <w:suppressAutoHyphens w:val="0"/>
              <w:rPr>
                <w:rFonts w:ascii="GillSans" w:hAnsi="GillSans" w:cs="Arial"/>
                <w:b/>
                <w:bCs/>
                <w:color w:val="244061" w:themeColor="accent1" w:themeShade="80"/>
                <w:kern w:val="24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b/>
                <w:bCs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Attività turistiche sulla terraferma </w:t>
            </w:r>
          </w:p>
        </w:tc>
        <w:tc>
          <w:tcPr>
            <w:tcW w:w="0" w:type="auto"/>
            <w:hideMark/>
          </w:tcPr>
          <w:p w:rsidR="00107224" w:rsidRPr="00F56D78" w:rsidRDefault="00107224" w:rsidP="0011077F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 beach resort;</w:t>
            </w:r>
          </w:p>
          <w:p w:rsidR="00107224" w:rsidRPr="00F56D78" w:rsidRDefault="00107224" w:rsidP="0011077F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 aree protette marine;</w:t>
            </w:r>
          </w:p>
          <w:p w:rsidR="00107224" w:rsidRPr="00F56D78" w:rsidRDefault="00107224" w:rsidP="0011077F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 SPA e centri benessere;</w:t>
            </w:r>
          </w:p>
          <w:p w:rsidR="00107224" w:rsidRPr="00F56D78" w:rsidRDefault="00107224" w:rsidP="0011077F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 gestori di attività acquatiche (immersioni subacquee, canoa, surf, sci d’acqua);</w:t>
            </w:r>
          </w:p>
          <w:p w:rsidR="00107224" w:rsidRPr="00F56D78" w:rsidRDefault="00107224" w:rsidP="0011077F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 parchi acquatici;</w:t>
            </w:r>
          </w:p>
          <w:p w:rsidR="00107224" w:rsidRPr="00F56D78" w:rsidRDefault="00107224" w:rsidP="0011077F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 ristorazione.</w:t>
            </w:r>
          </w:p>
        </w:tc>
      </w:tr>
      <w:tr w:rsidR="00107224" w:rsidRPr="00F56D78" w:rsidTr="0011077F">
        <w:trPr>
          <w:trHeight w:val="567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  <w:hideMark/>
          </w:tcPr>
          <w:p w:rsidR="00107224" w:rsidRPr="00F56D78" w:rsidRDefault="00107224" w:rsidP="0011077F">
            <w:pPr>
              <w:suppressAutoHyphens w:val="0"/>
              <w:rPr>
                <w:rFonts w:ascii="GillSans" w:hAnsi="GillSans" w:cs="Arial"/>
                <w:b/>
                <w:bCs/>
                <w:color w:val="244061" w:themeColor="accent1" w:themeShade="80"/>
                <w:kern w:val="24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b/>
                <w:bCs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Società di dating (Meetic?)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2EAF1"/>
            <w:hideMark/>
          </w:tcPr>
          <w:p w:rsidR="00107224" w:rsidRPr="00F56D78" w:rsidRDefault="00107224" w:rsidP="0011077F">
            <w:pPr>
              <w:suppressAutoHyphens w:val="0"/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</w:pPr>
            <w:r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>Offrono i pacchetti</w:t>
            </w:r>
            <w:r w:rsidR="00F56D78"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 xml:space="preserve"> turistici ai loro </w:t>
            </w:r>
            <w:r w:rsidRPr="00F56D78">
              <w:rPr>
                <w:rFonts w:ascii="GillSans" w:hAnsi="GillSans" w:cs="Arial"/>
                <w:color w:val="244061" w:themeColor="accent1" w:themeShade="80"/>
                <w:kern w:val="24"/>
                <w:sz w:val="22"/>
                <w:szCs w:val="22"/>
                <w:lang w:eastAsia="it-IT"/>
              </w:rPr>
              <w:t>associati (il lato domanda).</w:t>
            </w:r>
          </w:p>
        </w:tc>
      </w:tr>
      <w:bookmarkEnd w:id="0"/>
    </w:tbl>
    <w:p w:rsidR="00900407" w:rsidRPr="00F56D78" w:rsidRDefault="00900407">
      <w:pPr>
        <w:rPr>
          <w:rFonts w:ascii="GillSans" w:hAnsi="GillSans"/>
          <w:color w:val="244061" w:themeColor="accent1" w:themeShade="80"/>
          <w:sz w:val="22"/>
          <w:szCs w:val="22"/>
        </w:rPr>
      </w:pPr>
    </w:p>
    <w:p w:rsidR="00900407" w:rsidRDefault="00900407">
      <w:pPr>
        <w:pStyle w:val="Titolo6"/>
        <w:numPr>
          <w:ilvl w:val="0"/>
          <w:numId w:val="0"/>
        </w:numPr>
        <w:tabs>
          <w:tab w:val="left" w:pos="240"/>
        </w:tabs>
        <w:rPr>
          <w:rFonts w:ascii="GillSans" w:hAnsi="GillSans"/>
          <w:i/>
          <w:iCs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i/>
          <w:iCs/>
          <w:color w:val="244061" w:themeColor="accent1" w:themeShade="80"/>
          <w:sz w:val="22"/>
          <w:szCs w:val="22"/>
        </w:rPr>
        <w:t>4. Azioni concordate</w:t>
      </w:r>
    </w:p>
    <w:p w:rsidR="005E4FBE" w:rsidRPr="005E4FBE" w:rsidRDefault="005E4FBE" w:rsidP="005E4FBE">
      <w:pPr>
        <w:rPr>
          <w:rFonts w:eastAsia="Arial Unicode MS"/>
        </w:rPr>
      </w:pPr>
    </w:p>
    <w:p w:rsidR="00107224" w:rsidRPr="00F56D78" w:rsidRDefault="00107224" w:rsidP="00D64848">
      <w:pPr>
        <w:ind w:left="360"/>
        <w:rPr>
          <w:rFonts w:ascii="GillSan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hAnsi="GillSans"/>
          <w:color w:val="244061" w:themeColor="accent1" w:themeShade="80"/>
          <w:sz w:val="22"/>
          <w:szCs w:val="22"/>
        </w:rPr>
        <w:t>Il tavolo definisce come possibile azione la realizzazione di un progetto europeo che si proponga le seguenti azioni:</w:t>
      </w:r>
    </w:p>
    <w:p w:rsidR="00107224" w:rsidRPr="00F56D78" w:rsidRDefault="00107224" w:rsidP="00107224">
      <w:pPr>
        <w:numPr>
          <w:ilvl w:val="0"/>
          <w:numId w:val="50"/>
        </w:numPr>
        <w:rPr>
          <w:rFonts w:ascii="GillSans" w:eastAsia="Arial Unicode M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eastAsia="Arial Unicode MS" w:hAnsi="GillSans"/>
          <w:b/>
          <w:bCs/>
          <w:color w:val="244061" w:themeColor="accent1" w:themeShade="80"/>
          <w:sz w:val="22"/>
          <w:szCs w:val="22"/>
        </w:rPr>
        <w:t>Realizzazione del nautical refitting di una barca</w:t>
      </w:r>
      <w:r w:rsidRPr="00F56D78">
        <w:rPr>
          <w:rFonts w:ascii="GillSans" w:eastAsia="Arial Unicode MS" w:hAnsi="GillSans"/>
          <w:color w:val="244061" w:themeColor="accent1" w:themeShade="80"/>
          <w:sz w:val="22"/>
          <w:szCs w:val="22"/>
        </w:rPr>
        <w:t>;</w:t>
      </w:r>
    </w:p>
    <w:p w:rsidR="00107224" w:rsidRPr="00F56D78" w:rsidRDefault="00107224" w:rsidP="00107224">
      <w:pPr>
        <w:numPr>
          <w:ilvl w:val="0"/>
          <w:numId w:val="50"/>
        </w:numPr>
        <w:rPr>
          <w:rFonts w:ascii="GillSans" w:eastAsia="Arial Unicode M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eastAsia="Arial Unicode MS" w:hAnsi="GillSans"/>
          <w:b/>
          <w:bCs/>
          <w:color w:val="244061" w:themeColor="accent1" w:themeShade="80"/>
          <w:sz w:val="22"/>
          <w:szCs w:val="22"/>
        </w:rPr>
        <w:t xml:space="preserve">Attivazione di filiere per il nautical refitting </w:t>
      </w:r>
      <w:r w:rsidRPr="00F56D78">
        <w:rPr>
          <w:rFonts w:ascii="GillSans" w:eastAsia="Arial Unicode MS" w:hAnsi="GillSans"/>
          <w:color w:val="244061" w:themeColor="accent1" w:themeShade="80"/>
          <w:sz w:val="22"/>
          <w:szCs w:val="22"/>
        </w:rPr>
        <w:t>(anche tramite contratti di rete e un concorso per i designer);</w:t>
      </w:r>
    </w:p>
    <w:p w:rsidR="00107224" w:rsidRPr="00F56D78" w:rsidRDefault="00107224" w:rsidP="00107224">
      <w:pPr>
        <w:numPr>
          <w:ilvl w:val="0"/>
          <w:numId w:val="50"/>
        </w:numPr>
        <w:rPr>
          <w:rFonts w:ascii="GillSans" w:eastAsia="Arial Unicode M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eastAsia="Arial Unicode MS" w:hAnsi="GillSans"/>
          <w:b/>
          <w:bCs/>
          <w:color w:val="244061" w:themeColor="accent1" w:themeShade="80"/>
          <w:sz w:val="22"/>
          <w:szCs w:val="22"/>
        </w:rPr>
        <w:t>Individuazione di potenziali cooperative per la gestione delle navi e la vendita dei pacchetti turistici</w:t>
      </w:r>
      <w:r w:rsidRPr="00F56D78">
        <w:rPr>
          <w:rFonts w:ascii="GillSans" w:eastAsia="Arial Unicode MS" w:hAnsi="GillSans"/>
          <w:color w:val="244061" w:themeColor="accent1" w:themeShade="80"/>
          <w:sz w:val="22"/>
          <w:szCs w:val="22"/>
        </w:rPr>
        <w:t>;</w:t>
      </w:r>
    </w:p>
    <w:p w:rsidR="00107224" w:rsidRPr="00F56D78" w:rsidRDefault="00107224" w:rsidP="00107224">
      <w:pPr>
        <w:numPr>
          <w:ilvl w:val="0"/>
          <w:numId w:val="50"/>
        </w:numPr>
        <w:rPr>
          <w:rFonts w:ascii="GillSans" w:eastAsia="Arial Unicode M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eastAsia="Arial Unicode MS" w:hAnsi="GillSans"/>
          <w:b/>
          <w:bCs/>
          <w:color w:val="244061" w:themeColor="accent1" w:themeShade="80"/>
          <w:sz w:val="22"/>
          <w:szCs w:val="22"/>
        </w:rPr>
        <w:t>Individuazione delle location e dei fornitori ideali per i pacchetti di turismo nautico</w:t>
      </w:r>
      <w:r w:rsidRPr="00F56D78">
        <w:rPr>
          <w:rFonts w:ascii="GillSans" w:eastAsia="Arial Unicode MS" w:hAnsi="GillSans"/>
          <w:color w:val="244061" w:themeColor="accent1" w:themeShade="80"/>
          <w:sz w:val="22"/>
          <w:szCs w:val="22"/>
        </w:rPr>
        <w:t>;</w:t>
      </w:r>
    </w:p>
    <w:p w:rsidR="00107224" w:rsidRPr="00F56D78" w:rsidRDefault="00107224" w:rsidP="00107224">
      <w:pPr>
        <w:numPr>
          <w:ilvl w:val="0"/>
          <w:numId w:val="50"/>
        </w:numPr>
        <w:rPr>
          <w:rFonts w:ascii="GillSans" w:eastAsia="Arial Unicode MS" w:hAnsi="GillSans"/>
          <w:color w:val="244061" w:themeColor="accent1" w:themeShade="80"/>
          <w:sz w:val="22"/>
          <w:szCs w:val="22"/>
        </w:rPr>
      </w:pPr>
      <w:r w:rsidRPr="00F56D78">
        <w:rPr>
          <w:rFonts w:ascii="GillSans" w:eastAsia="Arial Unicode MS" w:hAnsi="GillSans"/>
          <w:b/>
          <w:bCs/>
          <w:color w:val="244061" w:themeColor="accent1" w:themeShade="80"/>
          <w:sz w:val="22"/>
          <w:szCs w:val="22"/>
        </w:rPr>
        <w:t>Lancio sul mercato dei pacchetti turistici</w:t>
      </w:r>
      <w:r w:rsidRPr="00F56D78">
        <w:rPr>
          <w:rFonts w:ascii="GillSans" w:eastAsia="Arial Unicode MS" w:hAnsi="GillSans"/>
          <w:color w:val="244061" w:themeColor="accent1" w:themeShade="80"/>
          <w:sz w:val="22"/>
          <w:szCs w:val="22"/>
        </w:rPr>
        <w:t>, ove possibile (altrimenti, studio di fattibilità).</w:t>
      </w:r>
    </w:p>
    <w:p w:rsidR="00107224" w:rsidRPr="00F56D78" w:rsidRDefault="00107224">
      <w:pPr>
        <w:tabs>
          <w:tab w:val="left" w:pos="7321"/>
        </w:tabs>
        <w:suppressAutoHyphens w:val="0"/>
        <w:spacing w:before="120"/>
        <w:ind w:left="720"/>
        <w:jc w:val="both"/>
        <w:rPr>
          <w:rFonts w:ascii="GillSans" w:eastAsia="Arial" w:hAnsi="GillSans" w:cs="Tahoma"/>
          <w:color w:val="244061" w:themeColor="accent1" w:themeShade="80"/>
          <w:sz w:val="22"/>
          <w:szCs w:val="22"/>
        </w:rPr>
      </w:pPr>
    </w:p>
    <w:sectPr w:rsidR="00107224" w:rsidRPr="00F56D78">
      <w:footnotePr>
        <w:pos w:val="beneathText"/>
      </w:footnotePr>
      <w:type w:val="continuous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36" w:rsidRDefault="00741236">
      <w:r>
        <w:separator/>
      </w:r>
    </w:p>
  </w:endnote>
  <w:endnote w:type="continuationSeparator" w:id="0">
    <w:p w:rsidR="00741236" w:rsidRDefault="0074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36" w:rsidRDefault="00741236">
      <w:r>
        <w:separator/>
      </w:r>
    </w:p>
  </w:footnote>
  <w:footnote w:type="continuationSeparator" w:id="0">
    <w:p w:rsidR="00741236" w:rsidRDefault="00741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07" w:rsidRDefault="00917802">
    <w:pPr>
      <w:pStyle w:val="Intestazione0"/>
      <w:jc w:val="right"/>
      <w:rPr>
        <w:rFonts w:ascii="GillSans" w:hAnsi="GillSans" w:cs="Tahoma"/>
        <w:color w:val="254061"/>
        <w:sz w:val="14"/>
        <w:lang w:val="en-GB"/>
      </w:rPr>
    </w:pPr>
    <w:r>
      <w:rPr>
        <w:rFonts w:ascii="GillSans" w:hAnsi="GillSans"/>
        <w:noProof/>
        <w:color w:val="254061"/>
        <w:sz w:val="20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-100330</wp:posOffset>
          </wp:positionV>
          <wp:extent cx="3095625" cy="790575"/>
          <wp:effectExtent l="19050" t="0" r="9525" b="0"/>
          <wp:wrapTight wrapText="bothSides">
            <wp:wrapPolygon edited="0">
              <wp:start x="-133" y="0"/>
              <wp:lineTo x="-133" y="21340"/>
              <wp:lineTo x="21666" y="21340"/>
              <wp:lineTo x="21666" y="0"/>
              <wp:lineTo x="-133" y="0"/>
            </wp:wrapPolygon>
          </wp:wrapTight>
          <wp:docPr id="4" name="Immagine 4" descr="logo_forum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orum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6434" w:rsidRPr="00BC6434">
      <w:rPr>
        <w:rFonts w:ascii="GillSans" w:hAnsi="GillSans" w:cs="Tahoma"/>
        <w:color w:val="254061"/>
        <w:sz w:val="14"/>
        <w:lang w:val="en-US"/>
      </w:rPr>
      <w:t>17</w:t>
    </w:r>
    <w:r w:rsidR="00BC6434" w:rsidRPr="00BC6434">
      <w:rPr>
        <w:rFonts w:ascii="GillSans" w:hAnsi="GillSans" w:cs="Tahoma"/>
        <w:color w:val="254061"/>
        <w:sz w:val="14"/>
        <w:vertAlign w:val="superscript"/>
        <w:lang w:val="en-US"/>
      </w:rPr>
      <w:t>th</w:t>
    </w:r>
    <w:r w:rsidR="00BC6434" w:rsidRPr="00BC6434">
      <w:rPr>
        <w:rFonts w:ascii="GillSans" w:hAnsi="GillSans" w:cs="Tahoma"/>
        <w:color w:val="254061"/>
        <w:sz w:val="14"/>
        <w:lang w:val="en-US"/>
      </w:rPr>
      <w:t xml:space="preserve"> Edition 7</w:t>
    </w:r>
    <w:r w:rsidR="00BC6434" w:rsidRPr="00BC6434">
      <w:rPr>
        <w:rFonts w:ascii="GillSans" w:hAnsi="GillSans" w:cs="Tahoma"/>
        <w:color w:val="254061"/>
        <w:sz w:val="14"/>
        <w:vertAlign w:val="superscript"/>
        <w:lang w:val="en-US"/>
      </w:rPr>
      <w:t>th</w:t>
    </w:r>
    <w:r w:rsidR="00BC6434" w:rsidRPr="00BC6434">
      <w:rPr>
        <w:rFonts w:ascii="GillSans" w:hAnsi="GillSans" w:cs="Tahoma"/>
        <w:color w:val="254061"/>
        <w:sz w:val="14"/>
        <w:lang w:val="en-US"/>
      </w:rPr>
      <w:t xml:space="preserve"> -9</w:t>
    </w:r>
    <w:r w:rsidR="00BC6434" w:rsidRPr="00BC6434">
      <w:rPr>
        <w:rFonts w:ascii="GillSans" w:hAnsi="GillSans" w:cs="Tahoma"/>
        <w:color w:val="254061"/>
        <w:sz w:val="14"/>
        <w:vertAlign w:val="superscript"/>
        <w:lang w:val="en-US"/>
      </w:rPr>
      <w:t>th</w:t>
    </w:r>
    <w:r w:rsidR="00BC6434" w:rsidRPr="00BC6434">
      <w:rPr>
        <w:rFonts w:ascii="GillSans" w:hAnsi="GillSans" w:cs="Tahoma"/>
        <w:color w:val="254061"/>
        <w:sz w:val="14"/>
        <w:lang w:val="en-US"/>
      </w:rPr>
      <w:t xml:space="preserve"> June 2017 – Pescara-Chieti (Italy)</w:t>
    </w:r>
  </w:p>
  <w:p w:rsidR="00900407" w:rsidRDefault="00900407">
    <w:pPr>
      <w:pStyle w:val="Intestazione0"/>
      <w:jc w:val="right"/>
      <w:rPr>
        <w:rFonts w:ascii="GillSans" w:hAnsi="GillSans"/>
        <w:color w:val="254061"/>
        <w:sz w:val="20"/>
        <w:lang w:val="it-IT"/>
      </w:rPr>
    </w:pPr>
  </w:p>
  <w:p w:rsidR="00900407" w:rsidRDefault="00900407">
    <w:pPr>
      <w:pStyle w:val="Intestazione0"/>
      <w:rPr>
        <w:rFonts w:ascii="GillSans" w:hAnsi="GillSans"/>
        <w:color w:val="254061"/>
        <w:sz w:val="20"/>
        <w:lang w:val="it-IT"/>
      </w:rPr>
    </w:pPr>
  </w:p>
  <w:p w:rsidR="00900407" w:rsidRDefault="00900407">
    <w:pPr>
      <w:pStyle w:val="Intestazione0"/>
      <w:rPr>
        <w:rFonts w:ascii="GillSans" w:hAnsi="GillSans"/>
        <w:color w:val="254061"/>
        <w:sz w:val="20"/>
        <w:lang w:val="it-IT"/>
      </w:rPr>
    </w:pPr>
  </w:p>
  <w:p w:rsidR="00900407" w:rsidRDefault="00900407">
    <w:pPr>
      <w:pStyle w:val="Intestazione0"/>
      <w:rPr>
        <w:rFonts w:ascii="GillSans" w:hAnsi="GillSans"/>
        <w:color w:val="254061"/>
        <w:sz w:val="20"/>
        <w:lang w:val="it-IT"/>
      </w:rPr>
    </w:pPr>
  </w:p>
  <w:p w:rsidR="00900407" w:rsidRDefault="00900407">
    <w:pPr>
      <w:pStyle w:val="Intestazione0"/>
      <w:rPr>
        <w:rFonts w:ascii="GillSans" w:hAnsi="GillSans" w:cs="Arial"/>
        <w:color w:val="254061"/>
        <w:sz w:val="28"/>
      </w:rPr>
    </w:pPr>
    <w:r>
      <w:rPr>
        <w:rFonts w:ascii="GillSans" w:hAnsi="GillSans" w:cs="Arial"/>
        <w:color w:val="254061"/>
        <w:sz w:val="28"/>
      </w:rPr>
      <w:t>____________________________________________________________________</w:t>
    </w:r>
  </w:p>
  <w:p w:rsidR="00900407" w:rsidRDefault="00900407">
    <w:pPr>
      <w:pStyle w:val="Intestazione0"/>
      <w:rPr>
        <w:rFonts w:ascii="GillSans" w:hAnsi="GillSans" w:cs="Arial"/>
        <w:color w:val="254061"/>
        <w:sz w:val="28"/>
        <w:lang w:val="it-IT"/>
      </w:rPr>
    </w:pPr>
  </w:p>
  <w:p w:rsidR="00900407" w:rsidRDefault="00900407">
    <w:pPr>
      <w:pStyle w:val="Intestazione0"/>
      <w:rPr>
        <w:rFonts w:ascii="GillSans" w:hAnsi="GillSans" w:cs="Arial"/>
        <w:color w:val="254061"/>
        <w:sz w:val="28"/>
      </w:rPr>
    </w:pPr>
    <w:r>
      <w:rPr>
        <w:rFonts w:ascii="GillSans" w:hAnsi="GillSans" w:cs="Arial"/>
        <w:color w:val="254061"/>
        <w:sz w:val="28"/>
      </w:rPr>
      <w:t xml:space="preserve"> </w:t>
    </w:r>
  </w:p>
  <w:p w:rsidR="00900407" w:rsidRDefault="00900407">
    <w:pPr>
      <w:pStyle w:val="Intestazione0"/>
      <w:rPr>
        <w:rFonts w:ascii="GillSans" w:hAnsi="GillSans" w:cs="Tahoma"/>
        <w:b/>
        <w:bCs/>
        <w:color w:val="254061"/>
      </w:rPr>
    </w:pPr>
    <w:r>
      <w:rPr>
        <w:rFonts w:ascii="GillSans" w:hAnsi="GillSans" w:cs="Tahoma"/>
        <w:b/>
        <w:bCs/>
        <w:color w:val="254061"/>
      </w:rPr>
      <w:t xml:space="preserve"> TAVOLO DI LAVORO SULLA CRESCITA BLU</w:t>
    </w:r>
  </w:p>
  <w:p w:rsidR="00900407" w:rsidRDefault="00900407">
    <w:pPr>
      <w:pStyle w:val="Intestazione0"/>
      <w:rPr>
        <w:rFonts w:ascii="Arial" w:hAnsi="Arial" w:cs="Arial"/>
        <w:color w:val="000080"/>
        <w:sz w:val="28"/>
      </w:rPr>
    </w:pPr>
  </w:p>
  <w:p w:rsidR="00900407" w:rsidRDefault="00900407">
    <w:pPr>
      <w:pStyle w:val="Intestazione0"/>
      <w:rPr>
        <w:rFonts w:ascii="Arial" w:hAnsi="Arial" w:cs="Arial"/>
        <w:color w:val="00008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DA679E8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A51349"/>
    <w:multiLevelType w:val="hybridMultilevel"/>
    <w:tmpl w:val="2BDA9F3C"/>
    <w:lvl w:ilvl="0" w:tplc="3BCC7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64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85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09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88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E7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0B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0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3FB6EBD"/>
    <w:multiLevelType w:val="hybridMultilevel"/>
    <w:tmpl w:val="575CCF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A0D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53C5A"/>
    <w:multiLevelType w:val="hybridMultilevel"/>
    <w:tmpl w:val="251E4E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7E3DC9"/>
    <w:multiLevelType w:val="hybridMultilevel"/>
    <w:tmpl w:val="C39E2BA8"/>
    <w:lvl w:ilvl="0" w:tplc="580AD7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9172C52"/>
    <w:multiLevelType w:val="hybridMultilevel"/>
    <w:tmpl w:val="207CB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104CB"/>
    <w:multiLevelType w:val="hybridMultilevel"/>
    <w:tmpl w:val="3FD2ED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05789"/>
    <w:multiLevelType w:val="hybridMultilevel"/>
    <w:tmpl w:val="B35AFB9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7756A7"/>
    <w:multiLevelType w:val="hybridMultilevel"/>
    <w:tmpl w:val="4656A618"/>
    <w:lvl w:ilvl="0" w:tplc="3788D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968AF"/>
    <w:multiLevelType w:val="hybridMultilevel"/>
    <w:tmpl w:val="07A49BAA"/>
    <w:lvl w:ilvl="0" w:tplc="639E06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96B2C14"/>
    <w:multiLevelType w:val="hybridMultilevel"/>
    <w:tmpl w:val="6660E8A4"/>
    <w:lvl w:ilvl="0" w:tplc="2DF42B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Arial" w:hAnsi="Tahoma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5F20BD"/>
    <w:multiLevelType w:val="hybridMultilevel"/>
    <w:tmpl w:val="A2901872"/>
    <w:lvl w:ilvl="0" w:tplc="3A2C0E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22896"/>
    <w:multiLevelType w:val="hybridMultilevel"/>
    <w:tmpl w:val="9D3EE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716C2F"/>
    <w:multiLevelType w:val="hybridMultilevel"/>
    <w:tmpl w:val="2AAEC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371636"/>
    <w:multiLevelType w:val="hybridMultilevel"/>
    <w:tmpl w:val="76DAFA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E6CAE"/>
    <w:multiLevelType w:val="hybridMultilevel"/>
    <w:tmpl w:val="101C8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A5986"/>
    <w:multiLevelType w:val="hybridMultilevel"/>
    <w:tmpl w:val="4FDC1520"/>
    <w:lvl w:ilvl="0" w:tplc="2DF42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Arial" w:hAnsi="Tahoma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945570"/>
    <w:multiLevelType w:val="hybridMultilevel"/>
    <w:tmpl w:val="ECF6252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BF1C61"/>
    <w:multiLevelType w:val="hybridMultilevel"/>
    <w:tmpl w:val="DE842BB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50771E"/>
    <w:multiLevelType w:val="hybridMultilevel"/>
    <w:tmpl w:val="18B06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9075E"/>
    <w:multiLevelType w:val="hybridMultilevel"/>
    <w:tmpl w:val="559000FA"/>
    <w:lvl w:ilvl="0" w:tplc="2DF42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Arial" w:hAnsi="Tahoma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9E7F73"/>
    <w:multiLevelType w:val="hybridMultilevel"/>
    <w:tmpl w:val="058039BC"/>
    <w:lvl w:ilvl="0" w:tplc="41D053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84AB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F2E3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587DB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3A3F9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3280B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94800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F62B7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0A954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4ED03A1"/>
    <w:multiLevelType w:val="hybridMultilevel"/>
    <w:tmpl w:val="BB24D044"/>
    <w:lvl w:ilvl="0" w:tplc="494EA34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28353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F896A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A6698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5C289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EE893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E2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8821F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9E051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8245104"/>
    <w:multiLevelType w:val="hybridMultilevel"/>
    <w:tmpl w:val="A86A575C"/>
    <w:lvl w:ilvl="0" w:tplc="8BAE0614">
      <w:start w:val="2"/>
      <w:numFmt w:val="bullet"/>
      <w:lvlText w:val="-"/>
      <w:lvlJc w:val="left"/>
      <w:pPr>
        <w:ind w:left="76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8E07109"/>
    <w:multiLevelType w:val="hybridMultilevel"/>
    <w:tmpl w:val="7C2AD5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EA01DC"/>
    <w:multiLevelType w:val="hybridMultilevel"/>
    <w:tmpl w:val="FF3AF58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1F5C18"/>
    <w:multiLevelType w:val="hybridMultilevel"/>
    <w:tmpl w:val="80B2D60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20A0AA5"/>
    <w:multiLevelType w:val="hybridMultilevel"/>
    <w:tmpl w:val="F698D06E"/>
    <w:lvl w:ilvl="0" w:tplc="1CE6F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5B44BC"/>
    <w:multiLevelType w:val="hybridMultilevel"/>
    <w:tmpl w:val="4E5EB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BC1D83"/>
    <w:multiLevelType w:val="hybridMultilevel"/>
    <w:tmpl w:val="7D906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73280"/>
    <w:multiLevelType w:val="hybridMultilevel"/>
    <w:tmpl w:val="D8D4C7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60624EBE"/>
    <w:multiLevelType w:val="hybridMultilevel"/>
    <w:tmpl w:val="1F26742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496C41"/>
    <w:multiLevelType w:val="hybridMultilevel"/>
    <w:tmpl w:val="BD02AED4"/>
    <w:lvl w:ilvl="0" w:tplc="77F2F4F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color w:val="00008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61D442A5"/>
    <w:multiLevelType w:val="hybridMultilevel"/>
    <w:tmpl w:val="A498DA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9282C"/>
    <w:multiLevelType w:val="hybridMultilevel"/>
    <w:tmpl w:val="0AA0D8F0"/>
    <w:lvl w:ilvl="0" w:tplc="AE4071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4AB4229"/>
    <w:multiLevelType w:val="hybridMultilevel"/>
    <w:tmpl w:val="E7CAC398"/>
    <w:lvl w:ilvl="0" w:tplc="2AD6BA2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232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C648C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D0F86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EC8F9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3C83E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C450A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E0CE1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C6FB5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7310F05"/>
    <w:multiLevelType w:val="hybridMultilevel"/>
    <w:tmpl w:val="EE24903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A30D8B"/>
    <w:multiLevelType w:val="hybridMultilevel"/>
    <w:tmpl w:val="7ED42C2C"/>
    <w:lvl w:ilvl="0" w:tplc="E52AFA7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64B9C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4A90D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72AC8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348D8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4EBF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E13A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D050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26441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68A71EAF"/>
    <w:multiLevelType w:val="hybridMultilevel"/>
    <w:tmpl w:val="CE008686"/>
    <w:lvl w:ilvl="0" w:tplc="8BAE0614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A4CB5"/>
    <w:multiLevelType w:val="hybridMultilevel"/>
    <w:tmpl w:val="EEB2CA6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954447"/>
    <w:multiLevelType w:val="hybridMultilevel"/>
    <w:tmpl w:val="729C4ECA"/>
    <w:lvl w:ilvl="0" w:tplc="ED56AD50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02DBF"/>
    <w:multiLevelType w:val="hybridMultilevel"/>
    <w:tmpl w:val="95B2349C"/>
    <w:lvl w:ilvl="0" w:tplc="8BAE0614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D170C"/>
    <w:multiLevelType w:val="hybridMultilevel"/>
    <w:tmpl w:val="A0EE48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13"/>
  </w:num>
  <w:num w:numId="6">
    <w:abstractNumId w:val="23"/>
  </w:num>
  <w:num w:numId="7">
    <w:abstractNumId w:val="45"/>
  </w:num>
  <w:num w:numId="8">
    <w:abstractNumId w:val="29"/>
  </w:num>
  <w:num w:numId="9">
    <w:abstractNumId w:val="32"/>
  </w:num>
  <w:num w:numId="10">
    <w:abstractNumId w:val="0"/>
  </w:num>
  <w:num w:numId="11">
    <w:abstractNumId w:val="30"/>
  </w:num>
  <w:num w:numId="12">
    <w:abstractNumId w:val="16"/>
  </w:num>
  <w:num w:numId="13">
    <w:abstractNumId w:val="17"/>
  </w:num>
  <w:num w:numId="14">
    <w:abstractNumId w:val="33"/>
  </w:num>
  <w:num w:numId="15">
    <w:abstractNumId w:val="37"/>
  </w:num>
  <w:num w:numId="16">
    <w:abstractNumId w:val="12"/>
  </w:num>
  <w:num w:numId="17">
    <w:abstractNumId w:val="27"/>
  </w:num>
  <w:num w:numId="18">
    <w:abstractNumId w:val="6"/>
  </w:num>
  <w:num w:numId="19">
    <w:abstractNumId w:val="31"/>
  </w:num>
  <w:num w:numId="20">
    <w:abstractNumId w:val="18"/>
  </w:num>
  <w:num w:numId="21">
    <w:abstractNumId w:val="10"/>
  </w:num>
  <w:num w:numId="22">
    <w:abstractNumId w:val="34"/>
  </w:num>
  <w:num w:numId="23">
    <w:abstractNumId w:val="39"/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9"/>
  </w:num>
  <w:num w:numId="28">
    <w:abstractNumId w:val="8"/>
  </w:num>
  <w:num w:numId="29">
    <w:abstractNumId w:val="14"/>
  </w:num>
  <w:num w:numId="30">
    <w:abstractNumId w:val="44"/>
  </w:num>
  <w:num w:numId="31">
    <w:abstractNumId w:val="26"/>
  </w:num>
  <w:num w:numId="32">
    <w:abstractNumId w:val="41"/>
  </w:num>
  <w:num w:numId="33">
    <w:abstractNumId w:val="22"/>
  </w:num>
  <w:num w:numId="34">
    <w:abstractNumId w:val="42"/>
  </w:num>
  <w:num w:numId="3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0"/>
  </w:num>
  <w:num w:numId="40">
    <w:abstractNumId w:val="43"/>
  </w:num>
  <w:num w:numId="41">
    <w:abstractNumId w:val="11"/>
  </w:num>
  <w:num w:numId="42">
    <w:abstractNumId w:val="28"/>
  </w:num>
  <w:num w:numId="43">
    <w:abstractNumId w:val="36"/>
  </w:num>
  <w:num w:numId="44">
    <w:abstractNumId w:val="35"/>
  </w:num>
  <w:num w:numId="45">
    <w:abstractNumId w:val="0"/>
  </w:num>
  <w:num w:numId="46">
    <w:abstractNumId w:val="24"/>
  </w:num>
  <w:num w:numId="47">
    <w:abstractNumId w:val="38"/>
  </w:num>
  <w:num w:numId="48">
    <w:abstractNumId w:val="4"/>
  </w:num>
  <w:num w:numId="49">
    <w:abstractNumId w:val="40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BC6434"/>
    <w:rsid w:val="000D7F46"/>
    <w:rsid w:val="00107224"/>
    <w:rsid w:val="0011077F"/>
    <w:rsid w:val="001A5042"/>
    <w:rsid w:val="00405B92"/>
    <w:rsid w:val="0053152A"/>
    <w:rsid w:val="005E4FBE"/>
    <w:rsid w:val="00741236"/>
    <w:rsid w:val="007A32BE"/>
    <w:rsid w:val="00900407"/>
    <w:rsid w:val="00917802"/>
    <w:rsid w:val="009D5EB2"/>
    <w:rsid w:val="00BC6434"/>
    <w:rsid w:val="00D64848"/>
    <w:rsid w:val="00F5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0"/>
      </w:numPr>
      <w:tabs>
        <w:tab w:val="num" w:pos="0"/>
      </w:tabs>
      <w:spacing w:before="120"/>
      <w:ind w:left="432" w:hanging="432"/>
      <w:jc w:val="both"/>
      <w:outlineLvl w:val="0"/>
    </w:pPr>
    <w:rPr>
      <w:rFonts w:ascii="Trebuchet MS" w:hAnsi="Trebuchet MS"/>
      <w:i/>
      <w:i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0"/>
      </w:numPr>
      <w:tabs>
        <w:tab w:val="num" w:pos="0"/>
      </w:tabs>
      <w:spacing w:before="120"/>
      <w:ind w:left="576" w:hanging="576"/>
      <w:jc w:val="right"/>
      <w:outlineLvl w:val="1"/>
    </w:pPr>
    <w:rPr>
      <w:rFonts w:ascii="Trebuchet MS" w:hAnsi="Trebuchet MS"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0"/>
      </w:numPr>
      <w:tabs>
        <w:tab w:val="num" w:pos="0"/>
      </w:tabs>
      <w:ind w:left="720" w:hanging="720"/>
      <w:outlineLvl w:val="2"/>
    </w:pPr>
    <w:rPr>
      <w:rFonts w:ascii="Tahoma" w:hAnsi="Tahoma" w:cs="Tahoma"/>
      <w:i/>
      <w:iCs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0"/>
      </w:numPr>
      <w:tabs>
        <w:tab w:val="num" w:pos="0"/>
      </w:tabs>
      <w:ind w:left="864" w:hanging="864"/>
      <w:jc w:val="right"/>
      <w:outlineLvl w:val="3"/>
    </w:pPr>
    <w:rPr>
      <w:rFonts w:ascii="Tahoma" w:hAnsi="Tahoma" w:cs="Tahoma"/>
      <w:i/>
      <w:iCs/>
      <w:sz w:val="1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0"/>
      </w:numPr>
      <w:tabs>
        <w:tab w:val="num" w:pos="0"/>
      </w:tabs>
      <w:spacing w:before="60"/>
      <w:ind w:left="1008" w:hanging="1008"/>
      <w:jc w:val="right"/>
      <w:outlineLvl w:val="4"/>
    </w:pPr>
    <w:rPr>
      <w:rFonts w:ascii="Tahoma" w:hAnsi="Tahoma" w:cs="Tahoma"/>
      <w:b/>
      <w:bCs/>
      <w:color w:val="000080"/>
      <w:sz w:val="3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0"/>
      </w:numPr>
      <w:outlineLvl w:val="5"/>
    </w:pPr>
    <w:rPr>
      <w:rFonts w:ascii="Tahoma" w:hAnsi="Tahoma" w:cs="Tahoma"/>
      <w:b/>
      <w:bCs/>
      <w:color w:val="00008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0"/>
      </w:numPr>
      <w:tabs>
        <w:tab w:val="num" w:pos="0"/>
      </w:tabs>
      <w:ind w:left="1296" w:hanging="1296"/>
      <w:jc w:val="both"/>
      <w:outlineLvl w:val="6"/>
    </w:pPr>
    <w:rPr>
      <w:rFonts w:ascii="Tahoma" w:hAnsi="Tahoma" w:cs="Tahoma"/>
      <w:b/>
      <w:iCs/>
      <w:sz w:val="22"/>
      <w:szCs w:val="22"/>
      <w:u w:val="single"/>
    </w:rPr>
  </w:style>
  <w:style w:type="paragraph" w:styleId="Titolo8">
    <w:name w:val="heading 8"/>
    <w:basedOn w:val="Normale"/>
    <w:next w:val="Normale"/>
    <w:qFormat/>
    <w:pPr>
      <w:numPr>
        <w:ilvl w:val="7"/>
        <w:numId w:val="10"/>
      </w:numPr>
      <w:suppressAutoHyphens w:val="0"/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7"/>
    </w:pPr>
    <w:rPr>
      <w:sz w:val="22"/>
      <w:szCs w:val="20"/>
      <w:lang w:eastAsia="en-US"/>
    </w:rPr>
  </w:style>
  <w:style w:type="paragraph" w:styleId="Titolo9">
    <w:name w:val="heading 9"/>
    <w:basedOn w:val="Normale"/>
    <w:next w:val="Normale"/>
    <w:qFormat/>
    <w:pPr>
      <w:numPr>
        <w:ilvl w:val="8"/>
        <w:numId w:val="10"/>
      </w:numPr>
      <w:suppressAutoHyphens w:val="0"/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8"/>
    </w:pPr>
    <w:rPr>
      <w:sz w:val="22"/>
      <w:szCs w:val="2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3">
    <w:name w:val="WW8Num4z3"/>
    <w:rPr>
      <w:rFonts w:ascii="Symbol" w:hAnsi="Symbol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  <w:i w:val="0"/>
    </w:rPr>
  </w:style>
  <w:style w:type="character" w:styleId="Carpredefinitoparagrafo0">
    <w:name w:val="Default Paragraph Font"/>
    <w:semiHidden/>
  </w:style>
  <w:style w:type="character" w:styleId="Numeropagina">
    <w:name w:val="page number"/>
    <w:basedOn w:val="Carpredefinitoparagrafo0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next w:val="Corpodeltesto"/>
    <w:semiHidden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ltesto">
    <w:name w:val="Body Text"/>
    <w:basedOn w:val="Normale"/>
    <w:semiHidden/>
    <w:pPr>
      <w:spacing w:before="120"/>
      <w:jc w:val="both"/>
    </w:pPr>
    <w:rPr>
      <w:rFonts w:ascii="Trebuchet MS" w:hAnsi="Trebuchet MS"/>
      <w:i/>
      <w:iCs/>
      <w:sz w:val="20"/>
    </w:rPr>
  </w:style>
  <w:style w:type="paragraph" w:styleId="Elenco">
    <w:name w:val="List"/>
    <w:basedOn w:val="Corpodeltesto"/>
    <w:semiHidden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0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spacing w:before="60"/>
      <w:jc w:val="both"/>
    </w:pPr>
    <w:rPr>
      <w:rFonts w:ascii="Tahoma" w:hAnsi="Tahoma" w:cs="Tahoma"/>
      <w:sz w:val="18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eastAsia="Arial"/>
      <w:color w:val="000000"/>
      <w:sz w:val="24"/>
      <w:szCs w:val="24"/>
      <w:lang w:eastAsia="ar-SA"/>
    </w:rPr>
  </w:style>
  <w:style w:type="paragraph" w:styleId="Corpodeltesto3">
    <w:name w:val="Body Text 3"/>
    <w:basedOn w:val="Normale"/>
    <w:semiHidden/>
    <w:rPr>
      <w:rFonts w:ascii="Tahoma" w:hAnsi="Tahoma" w:cs="Tahoma"/>
      <w:sz w:val="36"/>
    </w:rPr>
  </w:style>
  <w:style w:type="paragraph" w:styleId="Testodelblocco">
    <w:name w:val="Block Text"/>
    <w:basedOn w:val="Normale"/>
    <w:semiHidden/>
    <w:pPr>
      <w:ind w:left="120" w:right="63"/>
      <w:jc w:val="both"/>
    </w:pPr>
    <w:rPr>
      <w:rFonts w:ascii="Tahoma" w:hAnsi="Tahoma" w:cs="Tahoma"/>
      <w:sz w:val="18"/>
    </w:rPr>
  </w:style>
  <w:style w:type="paragraph" w:customStyle="1" w:styleId="normalepuntato">
    <w:name w:val="normale puntato"/>
    <w:basedOn w:val="Normale"/>
    <w:pPr>
      <w:numPr>
        <w:numId w:val="3"/>
      </w:numPr>
      <w:spacing w:before="240" w:after="120"/>
      <w:jc w:val="both"/>
    </w:pPr>
    <w:rPr>
      <w:rFonts w:ascii="Tahoma" w:hAnsi="Tahoma"/>
      <w:color w:val="1C1C1C"/>
      <w:sz w:val="18"/>
      <w:szCs w:val="18"/>
    </w:rPr>
  </w:style>
  <w:style w:type="paragraph" w:customStyle="1" w:styleId="2puntato">
    <w:name w:val="2 puntato"/>
    <w:basedOn w:val="normalepuntato"/>
    <w:pPr>
      <w:spacing w:before="120"/>
    </w:pPr>
  </w:style>
  <w:style w:type="paragraph" w:styleId="NormaleWeb">
    <w:name w:val="Normal (Web)"/>
    <w:basedOn w:val="Normale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nutocornice">
    <w:name w:val="Contenuto cornice"/>
    <w:basedOn w:val="Corpodeltesto"/>
  </w:style>
  <w:style w:type="paragraph" w:styleId="Testonotaapidipagina">
    <w:name w:val="footnote text"/>
    <w:basedOn w:val="Normale"/>
    <w:semiHidden/>
    <w:pPr>
      <w:suppressAutoHyphens w:val="0"/>
    </w:pPr>
    <w:rPr>
      <w:sz w:val="20"/>
      <w:szCs w:val="20"/>
      <w:lang w:eastAsia="it-IT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semiHidden/>
    <w:rPr>
      <w:sz w:val="24"/>
      <w:szCs w:val="24"/>
      <w:lang w:eastAsia="ar-SA"/>
    </w:rPr>
  </w:style>
  <w:style w:type="paragraph" w:customStyle="1" w:styleId="BalloonText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  <w:lang w:eastAsia="ar-SA"/>
    </w:rPr>
  </w:style>
  <w:style w:type="paragraph" w:customStyle="1" w:styleId="ListParagraph1">
    <w:name w:val="List Paragraph1"/>
    <w:basedOn w:val="Normal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semiHidden/>
    <w:pPr>
      <w:suppressAutoHyphens w:val="0"/>
      <w:spacing w:before="120"/>
      <w:jc w:val="both"/>
    </w:pPr>
    <w:rPr>
      <w:rFonts w:ascii="Calibri" w:hAnsi="Calibri"/>
      <w:b/>
      <w:bCs/>
      <w:color w:val="FF9900"/>
      <w:lang w:eastAsia="en-US"/>
    </w:rPr>
  </w:style>
  <w:style w:type="character" w:customStyle="1" w:styleId="object">
    <w:name w:val="object"/>
    <w:basedOn w:val="Carpredefinitoparagrafo"/>
  </w:style>
  <w:style w:type="character" w:styleId="Enfasigrassetto">
    <w:name w:val="Strong"/>
    <w:basedOn w:val="Carpredefinitoparagrafo"/>
    <w:qFormat/>
    <w:rPr>
      <w:b/>
      <w:bCs/>
    </w:rPr>
  </w:style>
  <w:style w:type="paragraph" w:styleId="Paragrafoelenco">
    <w:name w:val="List Paragraph"/>
    <w:basedOn w:val="Normale"/>
    <w:uiPriority w:val="34"/>
    <w:qFormat/>
    <w:rsid w:val="00107224"/>
    <w:pPr>
      <w:suppressAutoHyphens w:val="0"/>
      <w:ind w:left="720"/>
      <w:contextualSpacing/>
    </w:pPr>
    <w:rPr>
      <w:lang w:eastAsia="it-IT"/>
    </w:rPr>
  </w:style>
  <w:style w:type="table" w:styleId="Sfondochiaro-Colore2">
    <w:name w:val="Light Shading Accent 2"/>
    <w:basedOn w:val="Tabellanormale"/>
    <w:uiPriority w:val="60"/>
    <w:rsid w:val="001072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fondochiaro">
    <w:name w:val="Light Shading"/>
    <w:basedOn w:val="Tabellanormale"/>
    <w:uiPriority w:val="60"/>
    <w:rsid w:val="0010722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5">
    <w:name w:val="Light Shading Accent 5"/>
    <w:basedOn w:val="Tabellanormale"/>
    <w:uiPriority w:val="60"/>
    <w:rsid w:val="0010722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0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7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8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5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3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4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7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5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6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0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1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PARLAMENTO EUROPEO</vt:lpstr>
    </vt:vector>
  </TitlesOfParts>
  <Company>European Commission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PARLAMENTO EUROPEO</dc:title>
  <dc:creator>C.C.I.A.A.</dc:creator>
  <cp:lastModifiedBy>Astrid Pavesic</cp:lastModifiedBy>
  <cp:revision>2</cp:revision>
  <cp:lastPrinted>2017-07-10T14:36:00Z</cp:lastPrinted>
  <dcterms:created xsi:type="dcterms:W3CDTF">2017-07-18T14:18:00Z</dcterms:created>
  <dcterms:modified xsi:type="dcterms:W3CDTF">2017-07-18T14:18:00Z</dcterms:modified>
</cp:coreProperties>
</file>